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0F" w:rsidRPr="009C5685" w:rsidRDefault="00823331">
      <w:pPr>
        <w:rPr>
          <w:rFonts w:ascii="Times New Roman" w:hAnsi="Times New Roman" w:cs="Times New Roman"/>
          <w:b/>
          <w:sz w:val="24"/>
        </w:rPr>
      </w:pPr>
      <w:bookmarkStart w:id="0" w:name="OLE_LINK5"/>
      <w:r w:rsidRPr="009C5685">
        <w:rPr>
          <w:rFonts w:ascii="Times New Roman" w:hAnsi="Times New Roman" w:cs="Times New Roman"/>
          <w:b/>
          <w:sz w:val="24"/>
        </w:rPr>
        <w:t>Jak má postupovat revizní technik v případě, kdy byla instalace z vícevrstvých nebo nerezových trubek provedena osobou bez školení k montáži od výrobce?</w:t>
      </w:r>
    </w:p>
    <w:tbl>
      <w:tblPr>
        <w:tblW w:w="2129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712"/>
      </w:tblGrid>
      <w:tr w:rsidR="00B0090E" w:rsidRPr="009C5685" w:rsidTr="00637D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0090E" w:rsidRPr="009C5685" w:rsidRDefault="00B0090E" w:rsidP="00B0090E">
            <w:pPr>
              <w:rPr>
                <w:rFonts w:ascii="Times New Roman" w:hAnsi="Times New Roman" w:cs="Times New Roman"/>
                <w:sz w:val="24"/>
              </w:rPr>
            </w:pPr>
            <w:r w:rsidRPr="009C5685">
              <w:rPr>
                <w:rFonts w:ascii="Times New Roman" w:hAnsi="Times New Roman" w:cs="Times New Roman"/>
                <w:sz w:val="24"/>
              </w:rPr>
              <w:t>kód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E" w:rsidRPr="009C5685" w:rsidRDefault="00B0090E" w:rsidP="00B0090E">
            <w:pPr>
              <w:rPr>
                <w:rFonts w:ascii="Times New Roman" w:hAnsi="Times New Roman" w:cs="Times New Roman"/>
                <w:sz w:val="24"/>
              </w:rPr>
            </w:pPr>
            <w:r w:rsidRPr="009C5685">
              <w:rPr>
                <w:rFonts w:ascii="Times New Roman" w:hAnsi="Times New Roman" w:cs="Times New Roman"/>
                <w:sz w:val="24"/>
              </w:rPr>
              <w:t>704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E" w:rsidRPr="009C5685" w:rsidRDefault="00B0090E" w:rsidP="00B0090E">
            <w:pPr>
              <w:rPr>
                <w:rFonts w:ascii="Times New Roman" w:hAnsi="Times New Roman" w:cs="Times New Roman"/>
                <w:sz w:val="24"/>
              </w:rPr>
            </w:pPr>
            <w:r w:rsidRPr="009C5685">
              <w:rPr>
                <w:rFonts w:ascii="Times New Roman" w:hAnsi="Times New Roman" w:cs="Times New Roman"/>
                <w:sz w:val="24"/>
              </w:rPr>
              <w:t>914</w:t>
            </w:r>
          </w:p>
        </w:tc>
        <w:bookmarkStart w:id="1" w:name="_GoBack"/>
        <w:bookmarkEnd w:id="1"/>
      </w:tr>
    </w:tbl>
    <w:p w:rsidR="00B0090E" w:rsidRPr="009C5685" w:rsidRDefault="00B0090E" w:rsidP="00B0090E">
      <w:pPr>
        <w:spacing w:before="240"/>
        <w:rPr>
          <w:rFonts w:ascii="Times New Roman" w:hAnsi="Times New Roman" w:cs="Times New Roman"/>
          <w:sz w:val="24"/>
        </w:rPr>
      </w:pPr>
      <w:bookmarkStart w:id="2" w:name="OLE_LINK6"/>
      <w:bookmarkStart w:id="3" w:name="OLE_LINK7"/>
      <w:r w:rsidRPr="009C5685">
        <w:rPr>
          <w:rFonts w:ascii="Times New Roman" w:hAnsi="Times New Roman" w:cs="Times New Roman"/>
          <w:sz w:val="24"/>
        </w:rPr>
        <w:t xml:space="preserve">Postup při provádění výchozí revize plynového zařízení stanoví </w:t>
      </w:r>
      <w:r w:rsidR="007D208D" w:rsidRPr="009C5685">
        <w:rPr>
          <w:rFonts w:ascii="Times New Roman" w:hAnsi="Times New Roman" w:cs="Times New Roman"/>
          <w:sz w:val="24"/>
        </w:rPr>
        <w:t xml:space="preserve">obecně pro všechna vyhrazená plynová zařízení, bez ohledu na jejich druh, plyn nebo materiál, </w:t>
      </w:r>
      <w:r w:rsidRPr="009C5685">
        <w:rPr>
          <w:rFonts w:ascii="Times New Roman" w:hAnsi="Times New Roman" w:cs="Times New Roman"/>
          <w:sz w:val="24"/>
        </w:rPr>
        <w:t>vyhláška č. 85/1978 Sb., o kontrolách, revizích a zkouškách plynových zařízení:</w:t>
      </w:r>
    </w:p>
    <w:p w:rsidR="000D47D8" w:rsidRPr="009C5685" w:rsidRDefault="00B0090E" w:rsidP="000D47D8">
      <w:pPr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§ 6 Výchozí revize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</w:p>
    <w:p w:rsidR="000D47D8" w:rsidRPr="009C5685" w:rsidRDefault="00B0090E" w:rsidP="000D47D8">
      <w:pPr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(1)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Na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každém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zařízení zajistí dodavatelská organizace před uvedením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zařízení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do provozu výchozí revizi a vyhotovení zprávy o revizi, která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je součástí dodávky zařízení.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</w:p>
    <w:p w:rsidR="000D47D8" w:rsidRPr="009C5685" w:rsidRDefault="00B0090E" w:rsidP="000D47D8">
      <w:pPr>
        <w:rPr>
          <w:rFonts w:ascii="Times New Roman" w:hAnsi="Times New Roman" w:cs="Times New Roman"/>
          <w:b/>
          <w:i/>
          <w:sz w:val="24"/>
        </w:rPr>
      </w:pPr>
      <w:r w:rsidRPr="009C5685">
        <w:rPr>
          <w:rFonts w:ascii="Times New Roman" w:hAnsi="Times New Roman" w:cs="Times New Roman"/>
          <w:b/>
          <w:i/>
          <w:sz w:val="24"/>
        </w:rPr>
        <w:t>(2)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Zařízení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nesmí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být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uvedeno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do provozu, pokud nejsou odstraněny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závady bránící bezpečnému a spolehlivému provozu, které jsou uvedeny ve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zprávě o revizi.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0D47D8" w:rsidRPr="009C5685" w:rsidRDefault="00B0090E" w:rsidP="000D47D8">
      <w:pPr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(3) Při výchozí revizi se prověří zejména: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</w:p>
    <w:p w:rsidR="000D47D8" w:rsidRPr="009C5685" w:rsidRDefault="00B0090E" w:rsidP="000D47D8">
      <w:pPr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a) úplnost a správnost technické dokumentace zařízení,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</w:p>
    <w:p w:rsidR="000D47D8" w:rsidRPr="009C5685" w:rsidRDefault="00B0090E" w:rsidP="000D47D8">
      <w:pPr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b)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zda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byly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na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zařízení provedeny předepsané zkoušky, a správnost a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úplnost dokladů o zkouškách,</w:t>
      </w:r>
    </w:p>
    <w:p w:rsidR="000D47D8" w:rsidRPr="009C5685" w:rsidRDefault="00B0090E" w:rsidP="000D47D8">
      <w:pPr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c)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zda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zařízení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odpovídá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předpisům a požadavkům bezpečnosti práce a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technických zařízení a požární ochrany,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</w:p>
    <w:p w:rsidR="000D47D8" w:rsidRPr="009C5685" w:rsidRDefault="00B0090E" w:rsidP="000D47D8">
      <w:pPr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d)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zda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je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zařízení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vybaveno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předepsanými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měřicími,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kontrolními a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bezpečnostními zařízeními,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</w:p>
    <w:p w:rsidR="000D47D8" w:rsidRPr="009C5685" w:rsidRDefault="00B0090E" w:rsidP="000D47D8">
      <w:pPr>
        <w:rPr>
          <w:rFonts w:ascii="Times New Roman" w:hAnsi="Times New Roman" w:cs="Times New Roman"/>
          <w:b/>
          <w:i/>
          <w:sz w:val="24"/>
        </w:rPr>
      </w:pPr>
      <w:r w:rsidRPr="009C5685">
        <w:rPr>
          <w:rFonts w:ascii="Times New Roman" w:hAnsi="Times New Roman" w:cs="Times New Roman"/>
          <w:b/>
          <w:i/>
          <w:sz w:val="24"/>
        </w:rPr>
        <w:t>e)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kvalita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montážních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prací (výsledky nedestruktivních zkoušek svarů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apod.),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0D47D8" w:rsidRPr="009C5685" w:rsidRDefault="00B0090E" w:rsidP="000D47D8">
      <w:pPr>
        <w:rPr>
          <w:rFonts w:ascii="Times New Roman" w:hAnsi="Times New Roman" w:cs="Times New Roman"/>
          <w:b/>
          <w:i/>
          <w:sz w:val="24"/>
        </w:rPr>
      </w:pPr>
      <w:r w:rsidRPr="009C5685">
        <w:rPr>
          <w:rFonts w:ascii="Times New Roman" w:hAnsi="Times New Roman" w:cs="Times New Roman"/>
          <w:b/>
          <w:i/>
          <w:sz w:val="24"/>
        </w:rPr>
        <w:t>f)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zda byly montážní práce provedeny pracovníky s předepsanou odbornou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b/>
          <w:i/>
          <w:sz w:val="24"/>
        </w:rPr>
        <w:t>způsobilostí,</w:t>
      </w:r>
      <w:r w:rsidR="000D47D8" w:rsidRPr="009C5685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0D47D8" w:rsidRPr="009C5685" w:rsidRDefault="00B0090E" w:rsidP="000D47D8">
      <w:pPr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g)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kvalita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vedení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montáží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dokumentace (doklady o kvalitě materiálu,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armatur, svarů apod.),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</w:p>
    <w:p w:rsidR="000D47D8" w:rsidRPr="009C5685" w:rsidRDefault="00B0090E" w:rsidP="000D47D8">
      <w:pPr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h) zda byla uskutečněna revize i na zařízeních elektrických, tlakových,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zdvihacích nebo jiných, pokud jsou součástí revidovaného zařízení,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</w:p>
    <w:p w:rsidR="00B0090E" w:rsidRPr="009C5685" w:rsidRDefault="00B0090E" w:rsidP="000D47D8">
      <w:pPr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i)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jiné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okolnosti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důležité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z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hlediska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bezpečnosti a spolehlivosti</w:t>
      </w:r>
      <w:r w:rsidR="000D47D8" w:rsidRPr="009C5685">
        <w:rPr>
          <w:rFonts w:ascii="Times New Roman" w:hAnsi="Times New Roman" w:cs="Times New Roman"/>
          <w:i/>
          <w:sz w:val="24"/>
        </w:rPr>
        <w:t xml:space="preserve"> </w:t>
      </w:r>
      <w:r w:rsidRPr="009C5685">
        <w:rPr>
          <w:rFonts w:ascii="Times New Roman" w:hAnsi="Times New Roman" w:cs="Times New Roman"/>
          <w:i/>
          <w:sz w:val="24"/>
        </w:rPr>
        <w:t>provozu a požární ochrany, požadované technologickým postupem.</w:t>
      </w:r>
    </w:p>
    <w:p w:rsidR="00B0090E" w:rsidRPr="009C5685" w:rsidRDefault="007D208D" w:rsidP="000D47D8">
      <w:pPr>
        <w:rPr>
          <w:rFonts w:ascii="Times New Roman" w:hAnsi="Times New Roman" w:cs="Times New Roman"/>
          <w:sz w:val="24"/>
        </w:rPr>
      </w:pPr>
      <w:r w:rsidRPr="009C5685">
        <w:rPr>
          <w:rFonts w:ascii="Times New Roman" w:hAnsi="Times New Roman" w:cs="Times New Roman"/>
          <w:sz w:val="24"/>
        </w:rPr>
        <w:t>Důležitý pro nalezení odpovědi na dotaz je zvýrazněný text. Revizní technik musí specifikovat závady bránící bezpečnému a spolehlivému provozu. Na bezpečný a spolehlivý provoz má vliv zcela nepochybně kvalita montážních prací</w:t>
      </w:r>
      <w:r w:rsidR="00D42A93" w:rsidRPr="009C5685">
        <w:rPr>
          <w:rFonts w:ascii="Times New Roman" w:hAnsi="Times New Roman" w:cs="Times New Roman"/>
          <w:sz w:val="24"/>
        </w:rPr>
        <w:t>, zejména pak spojů</w:t>
      </w:r>
      <w:r w:rsidRPr="009C5685">
        <w:rPr>
          <w:rFonts w:ascii="Times New Roman" w:hAnsi="Times New Roman" w:cs="Times New Roman"/>
          <w:sz w:val="24"/>
        </w:rPr>
        <w:t>. V případě plynovodů zhotovených z</w:t>
      </w:r>
      <w:r w:rsidR="00D42A93" w:rsidRPr="009C5685">
        <w:rPr>
          <w:rFonts w:ascii="Times New Roman" w:hAnsi="Times New Roman" w:cs="Times New Roman"/>
          <w:sz w:val="24"/>
        </w:rPr>
        <w:t> </w:t>
      </w:r>
      <w:r w:rsidRPr="009C5685">
        <w:rPr>
          <w:rFonts w:ascii="Times New Roman" w:hAnsi="Times New Roman" w:cs="Times New Roman"/>
          <w:sz w:val="24"/>
        </w:rPr>
        <w:t xml:space="preserve">vícevrstvých nebo nerezových trubek </w:t>
      </w:r>
      <w:r w:rsidR="007C6F8F" w:rsidRPr="009C5685">
        <w:rPr>
          <w:rFonts w:ascii="Times New Roman" w:hAnsi="Times New Roman" w:cs="Times New Roman"/>
          <w:sz w:val="24"/>
        </w:rPr>
        <w:t>posuzuje</w:t>
      </w:r>
      <w:r w:rsidRPr="009C5685">
        <w:rPr>
          <w:rFonts w:ascii="Times New Roman" w:hAnsi="Times New Roman" w:cs="Times New Roman"/>
          <w:sz w:val="24"/>
        </w:rPr>
        <w:t xml:space="preserve"> revizní technik kvalitu</w:t>
      </w:r>
      <w:r w:rsidR="00D42A93" w:rsidRPr="009C5685">
        <w:rPr>
          <w:rFonts w:ascii="Times New Roman" w:hAnsi="Times New Roman" w:cs="Times New Roman"/>
          <w:sz w:val="24"/>
        </w:rPr>
        <w:t xml:space="preserve"> spojů dvěma způsoby:</w:t>
      </w:r>
    </w:p>
    <w:p w:rsidR="00D42A93" w:rsidRPr="009C5685" w:rsidRDefault="00D42A93" w:rsidP="00D42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C5685">
        <w:rPr>
          <w:rFonts w:ascii="Times New Roman" w:hAnsi="Times New Roman" w:cs="Times New Roman"/>
          <w:sz w:val="24"/>
        </w:rPr>
        <w:t>tlakovou zkouškou pevnosti a těsnosti</w:t>
      </w:r>
    </w:p>
    <w:p w:rsidR="00D42A93" w:rsidRPr="009C5685" w:rsidRDefault="00D42A93" w:rsidP="00D42A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C5685">
        <w:rPr>
          <w:rFonts w:ascii="Times New Roman" w:hAnsi="Times New Roman" w:cs="Times New Roman"/>
          <w:sz w:val="24"/>
        </w:rPr>
        <w:t>vizuálně</w:t>
      </w:r>
    </w:p>
    <w:p w:rsidR="00FA74E8" w:rsidRPr="009C5685" w:rsidRDefault="00D42A93">
      <w:pPr>
        <w:rPr>
          <w:rFonts w:ascii="Times New Roman" w:hAnsi="Times New Roman" w:cs="Times New Roman"/>
          <w:sz w:val="24"/>
        </w:rPr>
      </w:pPr>
      <w:r w:rsidRPr="009C5685">
        <w:rPr>
          <w:rFonts w:ascii="Times New Roman" w:hAnsi="Times New Roman" w:cs="Times New Roman"/>
          <w:sz w:val="24"/>
        </w:rPr>
        <w:t xml:space="preserve">Tlaková zkouška pevnosti se provádí u domovních plynovodů tlakem </w:t>
      </w:r>
      <w:r w:rsidR="00353487" w:rsidRPr="009C5685">
        <w:rPr>
          <w:rFonts w:ascii="Times New Roman" w:hAnsi="Times New Roman" w:cs="Times New Roman"/>
          <w:sz w:val="24"/>
        </w:rPr>
        <w:t>nejméně 1 bar</w:t>
      </w:r>
      <w:r w:rsidR="00FA74E8" w:rsidRPr="009C5685">
        <w:rPr>
          <w:rFonts w:ascii="Times New Roman" w:hAnsi="Times New Roman" w:cs="Times New Roman"/>
          <w:sz w:val="24"/>
        </w:rPr>
        <w:t>, nejvýše však tlakem rovnajícím se nejnižší hodnotě konstrukčního tlaku součásti zkoušeného úseku plynovodu</w:t>
      </w:r>
      <w:r w:rsidR="00353487" w:rsidRPr="009C5685">
        <w:rPr>
          <w:rFonts w:ascii="Times New Roman" w:hAnsi="Times New Roman" w:cs="Times New Roman"/>
          <w:sz w:val="24"/>
        </w:rPr>
        <w:t xml:space="preserve">. </w:t>
      </w:r>
      <w:r w:rsidR="00CE16CE" w:rsidRPr="009C5685">
        <w:rPr>
          <w:rFonts w:ascii="Times New Roman" w:hAnsi="Times New Roman" w:cs="Times New Roman"/>
          <w:sz w:val="24"/>
        </w:rPr>
        <w:t>Svým charakterem odpovídá nedestruktivní zkoušce</w:t>
      </w:r>
      <w:r w:rsidR="007C6F8F" w:rsidRPr="009C5685">
        <w:rPr>
          <w:rFonts w:ascii="Times New Roman" w:hAnsi="Times New Roman" w:cs="Times New Roman"/>
          <w:sz w:val="24"/>
        </w:rPr>
        <w:t xml:space="preserve">. </w:t>
      </w:r>
      <w:r w:rsidR="00353487" w:rsidRPr="009C5685">
        <w:rPr>
          <w:rFonts w:ascii="Times New Roman" w:hAnsi="Times New Roman" w:cs="Times New Roman"/>
          <w:sz w:val="24"/>
        </w:rPr>
        <w:t xml:space="preserve">Touto zkouškou lze </w:t>
      </w:r>
      <w:r w:rsidR="007C6F8F" w:rsidRPr="009C5685">
        <w:rPr>
          <w:rFonts w:ascii="Times New Roman" w:hAnsi="Times New Roman" w:cs="Times New Roman"/>
          <w:sz w:val="24"/>
        </w:rPr>
        <w:t xml:space="preserve">tak </w:t>
      </w:r>
      <w:r w:rsidR="00353487" w:rsidRPr="009C5685">
        <w:rPr>
          <w:rFonts w:ascii="Times New Roman" w:hAnsi="Times New Roman" w:cs="Times New Roman"/>
          <w:sz w:val="24"/>
        </w:rPr>
        <w:t>odhalit pouze hrubá porušení technologického postupu při zhotovování spojů</w:t>
      </w:r>
      <w:r w:rsidR="007C6F8F" w:rsidRPr="009C5685">
        <w:rPr>
          <w:rFonts w:ascii="Times New Roman" w:hAnsi="Times New Roman" w:cs="Times New Roman"/>
          <w:sz w:val="24"/>
        </w:rPr>
        <w:t xml:space="preserve">, např. téměř </w:t>
      </w:r>
      <w:r w:rsidR="007C6F8F" w:rsidRPr="009C5685">
        <w:rPr>
          <w:rFonts w:ascii="Times New Roman" w:hAnsi="Times New Roman" w:cs="Times New Roman"/>
          <w:sz w:val="24"/>
        </w:rPr>
        <w:lastRenderedPageBreak/>
        <w:t>nulové zasunutí trubky do lisovací tvarovky.</w:t>
      </w:r>
      <w:r w:rsidR="009222B4" w:rsidRPr="009C5685">
        <w:rPr>
          <w:rFonts w:ascii="Times New Roman" w:hAnsi="Times New Roman" w:cs="Times New Roman"/>
          <w:sz w:val="24"/>
        </w:rPr>
        <w:t xml:space="preserve"> Tlakovou zkouškou těsnosti je možno zjistit i</w:t>
      </w:r>
      <w:r w:rsidR="00050383">
        <w:rPr>
          <w:rFonts w:ascii="Times New Roman" w:hAnsi="Times New Roman" w:cs="Times New Roman"/>
          <w:sz w:val="24"/>
        </w:rPr>
        <w:t> </w:t>
      </w:r>
      <w:r w:rsidR="009222B4" w:rsidRPr="009C5685">
        <w:rPr>
          <w:rFonts w:ascii="Times New Roman" w:hAnsi="Times New Roman" w:cs="Times New Roman"/>
          <w:sz w:val="24"/>
        </w:rPr>
        <w:t>menší vady při ve spoji.</w:t>
      </w:r>
      <w:r w:rsidR="007C6F8F" w:rsidRPr="009C5685">
        <w:rPr>
          <w:rFonts w:ascii="Times New Roman" w:hAnsi="Times New Roman" w:cs="Times New Roman"/>
          <w:sz w:val="24"/>
        </w:rPr>
        <w:t xml:space="preserve"> </w:t>
      </w:r>
    </w:p>
    <w:p w:rsidR="00FA74E8" w:rsidRPr="009C5685" w:rsidRDefault="007C6F8F">
      <w:pPr>
        <w:rPr>
          <w:rFonts w:ascii="Times New Roman" w:hAnsi="Times New Roman" w:cs="Times New Roman"/>
          <w:sz w:val="24"/>
        </w:rPr>
      </w:pPr>
      <w:r w:rsidRPr="009C5685">
        <w:rPr>
          <w:rFonts w:ascii="Times New Roman" w:hAnsi="Times New Roman" w:cs="Times New Roman"/>
          <w:sz w:val="24"/>
        </w:rPr>
        <w:t>Vizuální</w:t>
      </w:r>
      <w:r w:rsidR="009222B4" w:rsidRPr="009C5685">
        <w:rPr>
          <w:rFonts w:ascii="Times New Roman" w:hAnsi="Times New Roman" w:cs="Times New Roman"/>
          <w:sz w:val="24"/>
        </w:rPr>
        <w:t xml:space="preserve"> kontrola má rovněž své limity, spočívající v posouzení kvality spoje na základě vnějšího vzhledu spoje, kompatibil</w:t>
      </w:r>
      <w:r w:rsidR="009C5685" w:rsidRPr="009C5685">
        <w:rPr>
          <w:rFonts w:ascii="Times New Roman" w:hAnsi="Times New Roman" w:cs="Times New Roman"/>
          <w:sz w:val="24"/>
        </w:rPr>
        <w:t>i</w:t>
      </w:r>
      <w:r w:rsidR="009222B4" w:rsidRPr="009C5685">
        <w:rPr>
          <w:rFonts w:ascii="Times New Roman" w:hAnsi="Times New Roman" w:cs="Times New Roman"/>
          <w:sz w:val="24"/>
        </w:rPr>
        <w:t>ty tvarovky a trubky atp</w:t>
      </w:r>
      <w:r w:rsidR="009C5685" w:rsidRPr="009C5685">
        <w:rPr>
          <w:rFonts w:ascii="Times New Roman" w:hAnsi="Times New Roman" w:cs="Times New Roman"/>
          <w:sz w:val="24"/>
        </w:rPr>
        <w:t>.</w:t>
      </w:r>
      <w:r w:rsidR="009222B4" w:rsidRPr="009C5685">
        <w:rPr>
          <w:rFonts w:ascii="Times New Roman" w:hAnsi="Times New Roman" w:cs="Times New Roman"/>
          <w:sz w:val="24"/>
        </w:rPr>
        <w:t>, použití vhodných čelistí při lisování vícevrstvých trubek atp.</w:t>
      </w:r>
    </w:p>
    <w:p w:rsidR="00B0090E" w:rsidRPr="009C5685" w:rsidRDefault="007C6F8F">
      <w:pPr>
        <w:rPr>
          <w:rFonts w:ascii="Times New Roman" w:hAnsi="Times New Roman" w:cs="Times New Roman"/>
          <w:sz w:val="24"/>
        </w:rPr>
      </w:pPr>
      <w:r w:rsidRPr="009C5685">
        <w:rPr>
          <w:rFonts w:ascii="Times New Roman" w:hAnsi="Times New Roman" w:cs="Times New Roman"/>
          <w:sz w:val="24"/>
        </w:rPr>
        <w:t xml:space="preserve">Žádná z uvedených dvou zkoušek nedokáže odhalit spolehlivě tzv. skryté vady, jako jsou např. konec trubky v tvarovce, zdeformovaný nešetrným zacházením při řezání, ohýbání atd. Z tohoto důvodu za tyto vady odpovídá osoba, která spoj zhotovila. Revizní technik </w:t>
      </w:r>
      <w:r w:rsidR="00FA74E8" w:rsidRPr="009C5685">
        <w:rPr>
          <w:rFonts w:ascii="Times New Roman" w:hAnsi="Times New Roman" w:cs="Times New Roman"/>
          <w:sz w:val="24"/>
        </w:rPr>
        <w:t>je povinen</w:t>
      </w:r>
      <w:r w:rsidRPr="009C5685">
        <w:rPr>
          <w:rFonts w:ascii="Times New Roman" w:hAnsi="Times New Roman" w:cs="Times New Roman"/>
          <w:sz w:val="24"/>
        </w:rPr>
        <w:t xml:space="preserve"> </w:t>
      </w:r>
      <w:r w:rsidR="00FA74E8" w:rsidRPr="009C5685">
        <w:rPr>
          <w:rFonts w:ascii="Times New Roman" w:hAnsi="Times New Roman" w:cs="Times New Roman"/>
          <w:sz w:val="24"/>
        </w:rPr>
        <w:t xml:space="preserve">v souladu s vyhláškou č. 85/1978 Sb. </w:t>
      </w:r>
      <w:r w:rsidRPr="009C5685">
        <w:rPr>
          <w:rFonts w:ascii="Times New Roman" w:hAnsi="Times New Roman" w:cs="Times New Roman"/>
          <w:sz w:val="24"/>
        </w:rPr>
        <w:t>ověř</w:t>
      </w:r>
      <w:r w:rsidR="00FA74E8" w:rsidRPr="009C5685">
        <w:rPr>
          <w:rFonts w:ascii="Times New Roman" w:hAnsi="Times New Roman" w:cs="Times New Roman"/>
          <w:sz w:val="24"/>
        </w:rPr>
        <w:t>it</w:t>
      </w:r>
      <w:r w:rsidRPr="009C5685">
        <w:rPr>
          <w:rFonts w:ascii="Times New Roman" w:hAnsi="Times New Roman" w:cs="Times New Roman"/>
          <w:sz w:val="24"/>
        </w:rPr>
        <w:t>, zda měla tato osoba kvalifikaci požadovanou právními a technickými předpisy.</w:t>
      </w:r>
    </w:p>
    <w:p w:rsidR="00FA74E8" w:rsidRPr="009C5685" w:rsidRDefault="00FA74E8">
      <w:pPr>
        <w:rPr>
          <w:rFonts w:ascii="Times New Roman" w:hAnsi="Times New Roman" w:cs="Times New Roman"/>
          <w:sz w:val="24"/>
        </w:rPr>
      </w:pPr>
      <w:r w:rsidRPr="009C5685">
        <w:rPr>
          <w:rFonts w:ascii="Times New Roman" w:hAnsi="Times New Roman" w:cs="Times New Roman"/>
          <w:sz w:val="24"/>
        </w:rPr>
        <w:t>Kvalifikace osob provádějících montáž potrubí z vícevrstvých nebo nerezových trubek je stanovena následujícími předpisy:</w:t>
      </w:r>
    </w:p>
    <w:p w:rsidR="00575CFC" w:rsidRPr="009C5685" w:rsidRDefault="00575CFC" w:rsidP="00575CFC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9C5685">
        <w:rPr>
          <w:rFonts w:ascii="Times New Roman" w:hAnsi="Times New Roman" w:cs="Times New Roman"/>
          <w:b/>
          <w:sz w:val="24"/>
        </w:rPr>
        <w:t>Vyhláška č. 21/1979 Sb., kterou se určují vyhrazená plynová zařízení a stanoví některé podmínky k zajištění jejich bezpečnosti</w:t>
      </w:r>
    </w:p>
    <w:p w:rsidR="00575CFC" w:rsidRPr="009C5685" w:rsidRDefault="009F4E97" w:rsidP="009F4E97">
      <w:pPr>
        <w:ind w:left="426"/>
        <w:rPr>
          <w:rFonts w:ascii="Times New Roman" w:hAnsi="Times New Roman" w:cs="Times New Roman"/>
          <w:b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 xml:space="preserve">§ 6 (2) Montáží ostatních zařízení mohou být pověřeny jen osoby, které byly seznámeny v rozsahu své činnosti s předpisy pro montážní práce na zařízení a zaškoleny. </w:t>
      </w:r>
      <w:r w:rsidRPr="009C5685">
        <w:rPr>
          <w:rFonts w:ascii="Times New Roman" w:hAnsi="Times New Roman" w:cs="Times New Roman"/>
          <w:b/>
          <w:i/>
          <w:sz w:val="24"/>
        </w:rPr>
        <w:t>Musí být seznámeny se souvisejícími předpisy a mít nejméně jeden rok odborné praxe, čímž se rozumí praktická činnost na zařízení příslušného druhu a musí složit zkoušky u orgánu dozoru.</w:t>
      </w:r>
    </w:p>
    <w:p w:rsidR="00575CFC" w:rsidRPr="009C5685" w:rsidRDefault="009F4E97" w:rsidP="009F4E97">
      <w:pPr>
        <w:ind w:left="426"/>
        <w:rPr>
          <w:rFonts w:ascii="Times New Roman" w:hAnsi="Times New Roman" w:cs="Times New Roman"/>
          <w:bCs/>
          <w:iCs/>
          <w:sz w:val="24"/>
          <w:szCs w:val="20"/>
        </w:rPr>
      </w:pPr>
      <w:r w:rsidRPr="009C5685">
        <w:rPr>
          <w:rFonts w:ascii="Times New Roman" w:hAnsi="Times New Roman" w:cs="Times New Roman"/>
          <w:sz w:val="24"/>
        </w:rPr>
        <w:t xml:space="preserve">Podle tohoto předpisu mohou montáž vyhrazených plynových zařízení provádět i osoby, které ještě neabsolvovaly zkoušky u </w:t>
      </w:r>
      <w:r w:rsidRPr="009C5685">
        <w:rPr>
          <w:rFonts w:ascii="Times New Roman" w:hAnsi="Times New Roman" w:cs="Times New Roman"/>
          <w:bCs/>
          <w:iCs/>
          <w:sz w:val="24"/>
          <w:szCs w:val="20"/>
        </w:rPr>
        <w:t>Technické inspekce České republiky, neboť nesplnily ještě podmínku jednoho roku odborné praxe. Tyto osoby musí pracovat pod dohledem osoby s osvědčením k činnosti na příslušném vyhrazeném plynovém zařízení (např. domovních plynovodech).</w:t>
      </w:r>
    </w:p>
    <w:p w:rsidR="00FE535B" w:rsidRPr="009C5685" w:rsidRDefault="00FE535B" w:rsidP="00E04CBB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9C5685">
        <w:rPr>
          <w:rFonts w:ascii="Times New Roman" w:hAnsi="Times New Roman" w:cs="Times New Roman"/>
          <w:b/>
          <w:sz w:val="24"/>
        </w:rPr>
        <w:t>ČSN EN 1775 Zásobování plynem – Plynovody v budovách – Nejvyšší provozní tla</w:t>
      </w:r>
      <w:r w:rsidR="00E04CBB" w:rsidRPr="009C5685">
        <w:rPr>
          <w:rFonts w:ascii="Times New Roman" w:hAnsi="Times New Roman" w:cs="Times New Roman"/>
          <w:b/>
          <w:sz w:val="24"/>
        </w:rPr>
        <w:t>k ≤ 5 bar – Provozní požadavky</w:t>
      </w:r>
    </w:p>
    <w:p w:rsidR="00E04CBB" w:rsidRPr="009C5685" w:rsidRDefault="00E04CBB" w:rsidP="00E04CBB">
      <w:pPr>
        <w:ind w:left="426"/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b/>
          <w:bCs/>
          <w:i/>
          <w:sz w:val="24"/>
          <w:lang w:val="en-US"/>
        </w:rPr>
        <w:t xml:space="preserve">5.2.4 </w:t>
      </w:r>
      <w:r w:rsidRPr="009C5685">
        <w:rPr>
          <w:rFonts w:ascii="Times New Roman" w:hAnsi="Times New Roman" w:cs="Times New Roman"/>
          <w:b/>
          <w:bCs/>
          <w:i/>
          <w:sz w:val="24"/>
        </w:rPr>
        <w:t>Spoje vytvářené pod tlakem (lisované)</w:t>
      </w:r>
    </w:p>
    <w:p w:rsidR="00E04CBB" w:rsidRPr="009C5685" w:rsidRDefault="00E04CBB" w:rsidP="00E04CBB">
      <w:pPr>
        <w:ind w:left="426"/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5.2.4.1.1 Uvedené spoje musí zhotovovat pouze osoby se zvláštním školením.</w:t>
      </w:r>
    </w:p>
    <w:p w:rsidR="00FE535B" w:rsidRPr="009C5685" w:rsidRDefault="00FE535B" w:rsidP="00E04CBB">
      <w:pPr>
        <w:ind w:left="426"/>
        <w:rPr>
          <w:rFonts w:ascii="Times New Roman" w:hAnsi="Times New Roman" w:cs="Times New Roman"/>
          <w:b/>
          <w:i/>
          <w:sz w:val="24"/>
        </w:rPr>
      </w:pPr>
      <w:r w:rsidRPr="009C5685">
        <w:rPr>
          <w:rFonts w:ascii="Times New Roman" w:hAnsi="Times New Roman" w:cs="Times New Roman"/>
          <w:b/>
          <w:i/>
          <w:sz w:val="24"/>
        </w:rPr>
        <w:t xml:space="preserve">5.2.5 Spojování </w:t>
      </w:r>
      <w:proofErr w:type="spellStart"/>
      <w:r w:rsidRPr="009C5685">
        <w:rPr>
          <w:rFonts w:ascii="Times New Roman" w:hAnsi="Times New Roman" w:cs="Times New Roman"/>
          <w:b/>
          <w:i/>
          <w:sz w:val="24"/>
        </w:rPr>
        <w:t>vlnovcových</w:t>
      </w:r>
      <w:proofErr w:type="spellEnd"/>
      <w:r w:rsidRPr="009C5685">
        <w:rPr>
          <w:rFonts w:ascii="Times New Roman" w:hAnsi="Times New Roman" w:cs="Times New Roman"/>
          <w:b/>
          <w:i/>
          <w:sz w:val="24"/>
        </w:rPr>
        <w:t xml:space="preserve"> ohebných trubek z korozivzdorné oceli</w:t>
      </w:r>
    </w:p>
    <w:p w:rsidR="00FE535B" w:rsidRPr="009C5685" w:rsidRDefault="00FE535B" w:rsidP="00E04CBB">
      <w:pPr>
        <w:ind w:left="426"/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Tyto spoje musí zhotovovat pouze osoby se zvláštním školením.</w:t>
      </w:r>
    </w:p>
    <w:p w:rsidR="00FE535B" w:rsidRPr="009C5685" w:rsidRDefault="00FE535B" w:rsidP="00E04CBB">
      <w:pPr>
        <w:ind w:left="426"/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POZNÁMKA Příloha E obsahuje pokyny pro tuto metodu spojování (viz též EN 15266).</w:t>
      </w:r>
    </w:p>
    <w:p w:rsidR="00FE535B" w:rsidRPr="009C5685" w:rsidRDefault="00FE535B" w:rsidP="00E04CBB">
      <w:pPr>
        <w:ind w:left="426"/>
        <w:rPr>
          <w:rFonts w:ascii="Times New Roman" w:hAnsi="Times New Roman" w:cs="Times New Roman"/>
          <w:sz w:val="24"/>
        </w:rPr>
      </w:pPr>
      <w:r w:rsidRPr="009C5685">
        <w:rPr>
          <w:rFonts w:ascii="Times New Roman" w:hAnsi="Times New Roman" w:cs="Times New Roman"/>
          <w:sz w:val="24"/>
        </w:rPr>
        <w:t>Odpověď na otázku se nalézá v příloze E:</w:t>
      </w:r>
    </w:p>
    <w:p w:rsidR="00FE535B" w:rsidRPr="009C5685" w:rsidRDefault="00FE535B" w:rsidP="00E04CBB">
      <w:pPr>
        <w:ind w:left="426"/>
        <w:rPr>
          <w:rFonts w:ascii="Times New Roman" w:hAnsi="Times New Roman" w:cs="Times New Roman"/>
          <w:i/>
          <w:sz w:val="24"/>
        </w:rPr>
      </w:pPr>
      <w:proofErr w:type="gramStart"/>
      <w:r w:rsidRPr="009C5685">
        <w:rPr>
          <w:rFonts w:ascii="Times New Roman" w:hAnsi="Times New Roman" w:cs="Times New Roman"/>
          <w:i/>
          <w:sz w:val="24"/>
        </w:rPr>
        <w:t>E.3.2</w:t>
      </w:r>
      <w:proofErr w:type="gramEnd"/>
      <w:r w:rsidRPr="009C5685">
        <w:rPr>
          <w:rFonts w:ascii="Times New Roman" w:hAnsi="Times New Roman" w:cs="Times New Roman"/>
          <w:i/>
          <w:sz w:val="24"/>
        </w:rPr>
        <w:t xml:space="preserve"> Školení pracovníků</w:t>
      </w:r>
    </w:p>
    <w:p w:rsidR="00FE535B" w:rsidRPr="009C5685" w:rsidRDefault="00FE535B" w:rsidP="00E04CBB">
      <w:pPr>
        <w:ind w:left="426"/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>Školení je založeno na splnění montážního návodu poskytnutého výrobcem systému.</w:t>
      </w:r>
    </w:p>
    <w:p w:rsidR="00FE535B" w:rsidRPr="009C5685" w:rsidRDefault="00FE535B" w:rsidP="00E04CBB">
      <w:pPr>
        <w:ind w:left="426"/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t xml:space="preserve">Pro všechny spoje z </w:t>
      </w:r>
      <w:proofErr w:type="spellStart"/>
      <w:r w:rsidRPr="009C5685">
        <w:rPr>
          <w:rFonts w:ascii="Times New Roman" w:hAnsi="Times New Roman" w:cs="Times New Roman"/>
          <w:i/>
          <w:sz w:val="24"/>
        </w:rPr>
        <w:t>vlnovcových</w:t>
      </w:r>
      <w:proofErr w:type="spellEnd"/>
      <w:r w:rsidRPr="009C5685">
        <w:rPr>
          <w:rFonts w:ascii="Times New Roman" w:hAnsi="Times New Roman" w:cs="Times New Roman"/>
          <w:i/>
          <w:sz w:val="24"/>
        </w:rPr>
        <w:t xml:space="preserve"> ohebných trubek z korozivzdorné oceli musí být pracovníci vyškoleni (např. výrobcem).</w:t>
      </w:r>
    </w:p>
    <w:p w:rsidR="00FE535B" w:rsidRPr="009C5685" w:rsidRDefault="00E04CBB" w:rsidP="00E04CBB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9C5685">
        <w:rPr>
          <w:rFonts w:ascii="Times New Roman" w:hAnsi="Times New Roman" w:cs="Times New Roman"/>
          <w:b/>
          <w:sz w:val="24"/>
        </w:rPr>
        <w:t>TPG 704 03 Domovní plynovody z vícevrstvých trubek. Navrhování a stavba</w:t>
      </w:r>
    </w:p>
    <w:p w:rsidR="00575CFC" w:rsidRPr="009C5685" w:rsidRDefault="00E04CBB" w:rsidP="008F4F19">
      <w:pPr>
        <w:ind w:left="426"/>
        <w:rPr>
          <w:rFonts w:ascii="Times New Roman" w:hAnsi="Times New Roman" w:cs="Times New Roman"/>
          <w:i/>
          <w:sz w:val="24"/>
        </w:rPr>
      </w:pPr>
      <w:r w:rsidRPr="009C5685">
        <w:rPr>
          <w:rFonts w:ascii="Times New Roman" w:hAnsi="Times New Roman" w:cs="Times New Roman"/>
          <w:i/>
          <w:sz w:val="24"/>
        </w:rPr>
        <w:lastRenderedPageBreak/>
        <w:t>3.6 Montážní práce podle těchto pravidel mohou provádět jen osoby, které splňují podmínky odborné způsobilosti podle zvláštních předpisů</w:t>
      </w:r>
      <w:r w:rsidR="008F4F19" w:rsidRPr="009C5685">
        <w:rPr>
          <w:rFonts w:ascii="Times New Roman" w:hAnsi="Times New Roman" w:cs="Times New Roman"/>
          <w:i/>
          <w:sz w:val="24"/>
          <w:vertAlign w:val="superscript"/>
        </w:rPr>
        <w:t>5)</w:t>
      </w:r>
      <w:r w:rsidRPr="009C5685">
        <w:rPr>
          <w:rFonts w:ascii="Times New Roman" w:hAnsi="Times New Roman" w:cs="Times New Roman"/>
          <w:i/>
          <w:sz w:val="24"/>
        </w:rPr>
        <w:t xml:space="preserve"> a mají doklad o proškolení </w:t>
      </w:r>
      <w:r w:rsidRPr="009C5685">
        <w:rPr>
          <w:rFonts w:ascii="Times New Roman" w:hAnsi="Times New Roman" w:cs="Times New Roman"/>
          <w:i/>
          <w:sz w:val="24"/>
          <w:lang w:val="ru-RU"/>
        </w:rPr>
        <w:t xml:space="preserve">к </w:t>
      </w:r>
      <w:r w:rsidRPr="009C5685">
        <w:rPr>
          <w:rFonts w:ascii="Times New Roman" w:hAnsi="Times New Roman" w:cs="Times New Roman"/>
          <w:i/>
          <w:sz w:val="24"/>
        </w:rPr>
        <w:t>montáži podle těchto pravidel, (Příloha 3), jehož součástí je školení výrobce nebo pověřeného zástupce systému vícevrstvých trubek podle osnovy v Příloze 1.</w:t>
      </w:r>
    </w:p>
    <w:p w:rsidR="008F4F19" w:rsidRPr="009C5685" w:rsidRDefault="008F4F19" w:rsidP="008F4F19">
      <w:pPr>
        <w:tabs>
          <w:tab w:val="left" w:pos="284"/>
        </w:tabs>
        <w:ind w:left="426"/>
        <w:rPr>
          <w:rFonts w:ascii="Times New Roman" w:hAnsi="Times New Roman" w:cs="Times New Roman"/>
          <w:i/>
          <w:iCs/>
          <w:sz w:val="24"/>
        </w:rPr>
      </w:pPr>
      <w:r w:rsidRPr="009C5685">
        <w:rPr>
          <w:rFonts w:ascii="Times New Roman" w:hAnsi="Times New Roman" w:cs="Times New Roman"/>
          <w:i/>
          <w:sz w:val="24"/>
          <w:vertAlign w:val="superscript"/>
        </w:rPr>
        <w:t>5)</w:t>
      </w:r>
      <w:r w:rsidRPr="009C5685">
        <w:rPr>
          <w:rFonts w:ascii="Times New Roman" w:hAnsi="Times New Roman" w:cs="Times New Roman"/>
          <w:i/>
          <w:sz w:val="24"/>
        </w:rPr>
        <w:tab/>
      </w:r>
      <w:r w:rsidRPr="009C5685">
        <w:rPr>
          <w:rFonts w:ascii="Times New Roman" w:hAnsi="Times New Roman" w:cs="Times New Roman"/>
          <w:i/>
          <w:iCs/>
          <w:sz w:val="24"/>
        </w:rPr>
        <w:t xml:space="preserve">Zákon č. </w:t>
      </w:r>
      <w:r w:rsidRPr="009C5685">
        <w:rPr>
          <w:rFonts w:ascii="Times New Roman" w:hAnsi="Times New Roman" w:cs="Times New Roman"/>
          <w:i/>
          <w:iCs/>
          <w:sz w:val="24"/>
          <w:lang w:val="ru-RU"/>
        </w:rPr>
        <w:t xml:space="preserve">174/1968 </w:t>
      </w:r>
      <w:r w:rsidRPr="009C5685">
        <w:rPr>
          <w:rFonts w:ascii="Times New Roman" w:hAnsi="Times New Roman" w:cs="Times New Roman"/>
          <w:i/>
          <w:iCs/>
          <w:sz w:val="24"/>
        </w:rPr>
        <w:t xml:space="preserve">Sb., ve znění pozdějších předpisů, vyhl. ČÚBP a ČBÚ č. </w:t>
      </w:r>
      <w:r w:rsidRPr="009C5685">
        <w:rPr>
          <w:rFonts w:ascii="Times New Roman" w:hAnsi="Times New Roman" w:cs="Times New Roman"/>
          <w:i/>
          <w:iCs/>
          <w:sz w:val="24"/>
          <w:lang w:val="ru-RU"/>
        </w:rPr>
        <w:t xml:space="preserve">21/1979 </w:t>
      </w:r>
      <w:r w:rsidRPr="009C5685">
        <w:rPr>
          <w:rFonts w:ascii="Times New Roman" w:hAnsi="Times New Roman" w:cs="Times New Roman"/>
          <w:i/>
          <w:iCs/>
          <w:sz w:val="24"/>
        </w:rPr>
        <w:t>Sb., ve znění pozdějších předpisů</w:t>
      </w:r>
    </w:p>
    <w:p w:rsidR="008F4F19" w:rsidRPr="009C5685" w:rsidRDefault="008F4F19" w:rsidP="008F4F19">
      <w:pPr>
        <w:rPr>
          <w:rFonts w:ascii="Times New Roman" w:hAnsi="Times New Roman" w:cs="Times New Roman"/>
          <w:sz w:val="24"/>
        </w:rPr>
      </w:pPr>
      <w:r w:rsidRPr="009C5685">
        <w:rPr>
          <w:rFonts w:ascii="Times New Roman" w:hAnsi="Times New Roman" w:cs="Times New Roman"/>
          <w:sz w:val="24"/>
        </w:rPr>
        <w:t>Předpisy uvedené pod body 1) a 2)</w:t>
      </w:r>
      <w:r w:rsidR="00132449" w:rsidRPr="009C5685">
        <w:rPr>
          <w:rFonts w:ascii="Times New Roman" w:hAnsi="Times New Roman" w:cs="Times New Roman"/>
          <w:sz w:val="24"/>
        </w:rPr>
        <w:t>, tj. ČSN EN 1775 a TPG 704 03,</w:t>
      </w:r>
      <w:r w:rsidRPr="009C5685">
        <w:rPr>
          <w:rFonts w:ascii="Times New Roman" w:hAnsi="Times New Roman" w:cs="Times New Roman"/>
          <w:sz w:val="24"/>
        </w:rPr>
        <w:t xml:space="preserve"> vyžadují jednoznačně, aby montáž z vícevrstvých nebo nerezových trubek</w:t>
      </w:r>
      <w:r w:rsidR="00132449" w:rsidRPr="009C5685">
        <w:rPr>
          <w:rFonts w:ascii="Times New Roman" w:hAnsi="Times New Roman" w:cs="Times New Roman"/>
          <w:sz w:val="24"/>
        </w:rPr>
        <w:t xml:space="preserve"> prováděly osoby,</w:t>
      </w:r>
      <w:r w:rsidRPr="009C5685">
        <w:rPr>
          <w:rFonts w:ascii="Times New Roman" w:hAnsi="Times New Roman" w:cs="Times New Roman"/>
          <w:sz w:val="24"/>
        </w:rPr>
        <w:t xml:space="preserve"> </w:t>
      </w:r>
      <w:r w:rsidR="00132449" w:rsidRPr="009C5685">
        <w:rPr>
          <w:rFonts w:ascii="Times New Roman" w:hAnsi="Times New Roman" w:cs="Times New Roman"/>
          <w:sz w:val="24"/>
        </w:rPr>
        <w:t>které absolvovaly školení založené na návodu výrobce daného montážního systému.</w:t>
      </w:r>
    </w:p>
    <w:p w:rsidR="008F4F19" w:rsidRPr="009C5685" w:rsidRDefault="008F4F19" w:rsidP="008F4F19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9C5685">
        <w:rPr>
          <w:rFonts w:ascii="Times New Roman" w:hAnsi="Times New Roman" w:cs="Times New Roman"/>
          <w:b/>
          <w:sz w:val="24"/>
        </w:rPr>
        <w:t>ZÁVĚR</w:t>
      </w:r>
    </w:p>
    <w:p w:rsidR="008F4F19" w:rsidRPr="009C5685" w:rsidRDefault="008F4F19" w:rsidP="00132449">
      <w:pPr>
        <w:rPr>
          <w:rFonts w:ascii="Times New Roman" w:hAnsi="Times New Roman" w:cs="Times New Roman"/>
          <w:sz w:val="24"/>
        </w:rPr>
      </w:pPr>
      <w:r w:rsidRPr="009C5685">
        <w:rPr>
          <w:rFonts w:ascii="Times New Roman" w:hAnsi="Times New Roman" w:cs="Times New Roman"/>
          <w:sz w:val="24"/>
        </w:rPr>
        <w:t>Rozhodnutí, zda bud</w:t>
      </w:r>
      <w:r w:rsidR="00132449" w:rsidRPr="009C5685">
        <w:rPr>
          <w:rFonts w:ascii="Times New Roman" w:hAnsi="Times New Roman" w:cs="Times New Roman"/>
          <w:sz w:val="24"/>
        </w:rPr>
        <w:t>ou spoje zhotovené osobami bez školení založeného na návodu výrobce daného montážního systému považovány za bezpečné a spolehlivé, záleží samozřejmě na revizním technikovi. Je však třeba si uvědomit, že z právního hlediska přejímá revizní technik v případě ne</w:t>
      </w:r>
      <w:r w:rsidR="002661CE" w:rsidRPr="009C5685">
        <w:rPr>
          <w:rFonts w:ascii="Times New Roman" w:hAnsi="Times New Roman" w:cs="Times New Roman"/>
          <w:sz w:val="24"/>
        </w:rPr>
        <w:t>posouzení</w:t>
      </w:r>
      <w:r w:rsidR="00132449" w:rsidRPr="009C5685">
        <w:rPr>
          <w:rFonts w:ascii="Times New Roman" w:hAnsi="Times New Roman" w:cs="Times New Roman"/>
          <w:sz w:val="24"/>
        </w:rPr>
        <w:t xml:space="preserve"> spoje zhotov</w:t>
      </w:r>
      <w:r w:rsidR="002661CE" w:rsidRPr="009C5685">
        <w:rPr>
          <w:rFonts w:ascii="Times New Roman" w:hAnsi="Times New Roman" w:cs="Times New Roman"/>
          <w:sz w:val="24"/>
        </w:rPr>
        <w:t>eného</w:t>
      </w:r>
      <w:r w:rsidR="00132449" w:rsidRPr="009C5685">
        <w:rPr>
          <w:rFonts w:ascii="Times New Roman" w:hAnsi="Times New Roman" w:cs="Times New Roman"/>
          <w:sz w:val="24"/>
        </w:rPr>
        <w:t xml:space="preserve"> osob</w:t>
      </w:r>
      <w:r w:rsidR="002661CE" w:rsidRPr="009C5685">
        <w:rPr>
          <w:rFonts w:ascii="Times New Roman" w:hAnsi="Times New Roman" w:cs="Times New Roman"/>
          <w:sz w:val="24"/>
        </w:rPr>
        <w:t>ou</w:t>
      </w:r>
      <w:r w:rsidR="00132449" w:rsidRPr="009C5685">
        <w:rPr>
          <w:rFonts w:ascii="Times New Roman" w:hAnsi="Times New Roman" w:cs="Times New Roman"/>
          <w:sz w:val="24"/>
        </w:rPr>
        <w:t xml:space="preserve"> bez požadované kvalifikace</w:t>
      </w:r>
      <w:r w:rsidR="002661CE" w:rsidRPr="009C5685">
        <w:rPr>
          <w:rFonts w:ascii="Times New Roman" w:hAnsi="Times New Roman" w:cs="Times New Roman"/>
          <w:sz w:val="24"/>
        </w:rPr>
        <w:t xml:space="preserve"> jako závady bránící bezpečnému provozu odpovědnost i za skryté vady.</w:t>
      </w:r>
    </w:p>
    <w:bookmarkEnd w:id="2"/>
    <w:bookmarkEnd w:id="3"/>
    <w:p w:rsidR="00B0090E" w:rsidRPr="009C5685" w:rsidRDefault="00B0090E" w:rsidP="00B0090E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9C5685">
        <w:rPr>
          <w:rFonts w:ascii="Times New Roman" w:eastAsia="Calibri" w:hAnsi="Times New Roman" w:cs="Times New Roman"/>
          <w:b/>
          <w:i/>
          <w:sz w:val="24"/>
        </w:rPr>
        <w:t>Odborné stanovisko č. 18</w:t>
      </w:r>
      <w:r w:rsidR="008F4F19" w:rsidRPr="009C5685">
        <w:rPr>
          <w:rFonts w:ascii="Times New Roman" w:eastAsia="Calibri" w:hAnsi="Times New Roman" w:cs="Times New Roman"/>
          <w:b/>
          <w:i/>
          <w:sz w:val="24"/>
        </w:rPr>
        <w:t>4</w:t>
      </w:r>
      <w:r w:rsidRPr="009C5685">
        <w:rPr>
          <w:rFonts w:ascii="Times New Roman" w:eastAsia="Calibri" w:hAnsi="Times New Roman" w:cs="Times New Roman"/>
          <w:b/>
          <w:i/>
          <w:sz w:val="24"/>
        </w:rPr>
        <w:t>/2014 – ČSTZ</w:t>
      </w:r>
    </w:p>
    <w:p w:rsidR="00823331" w:rsidRPr="009C5685" w:rsidRDefault="00823331">
      <w:pPr>
        <w:rPr>
          <w:rFonts w:ascii="Times New Roman" w:hAnsi="Times New Roman" w:cs="Times New Roman"/>
          <w:sz w:val="24"/>
        </w:rPr>
      </w:pPr>
    </w:p>
    <w:sectPr w:rsidR="00823331" w:rsidRPr="009C5685" w:rsidSect="00BD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2.4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2.4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5.2.4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5.2.4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5.2.4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5.2.4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5.2.4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5.2.4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5.2.4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2.4.1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2.4.1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5.2.4.1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5.2.4.1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5.2.4.1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5.2.4.1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5.2.4.1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5.2.4.1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5.2.4.1.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B0149F8"/>
    <w:multiLevelType w:val="hybridMultilevel"/>
    <w:tmpl w:val="C218BF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7C10"/>
    <w:multiLevelType w:val="hybridMultilevel"/>
    <w:tmpl w:val="99583D78"/>
    <w:lvl w:ilvl="0" w:tplc="F130761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31"/>
    <w:rsid w:val="00050383"/>
    <w:rsid w:val="00065AE0"/>
    <w:rsid w:val="000A2F8D"/>
    <w:rsid w:val="000D47D8"/>
    <w:rsid w:val="0013166C"/>
    <w:rsid w:val="00132449"/>
    <w:rsid w:val="001673F9"/>
    <w:rsid w:val="00231FF2"/>
    <w:rsid w:val="002661CE"/>
    <w:rsid w:val="00282D05"/>
    <w:rsid w:val="00353487"/>
    <w:rsid w:val="00463A85"/>
    <w:rsid w:val="004B6106"/>
    <w:rsid w:val="00553A79"/>
    <w:rsid w:val="00575CFC"/>
    <w:rsid w:val="0057622A"/>
    <w:rsid w:val="005B0DA2"/>
    <w:rsid w:val="005F0161"/>
    <w:rsid w:val="00621F8C"/>
    <w:rsid w:val="00637DE9"/>
    <w:rsid w:val="006409AB"/>
    <w:rsid w:val="006605EB"/>
    <w:rsid w:val="00677AE8"/>
    <w:rsid w:val="00692E2A"/>
    <w:rsid w:val="00715AFF"/>
    <w:rsid w:val="00761C80"/>
    <w:rsid w:val="00764BAD"/>
    <w:rsid w:val="00773100"/>
    <w:rsid w:val="007C6F8F"/>
    <w:rsid w:val="007D208D"/>
    <w:rsid w:val="00823331"/>
    <w:rsid w:val="008352E6"/>
    <w:rsid w:val="008F4F19"/>
    <w:rsid w:val="009031A6"/>
    <w:rsid w:val="009222B4"/>
    <w:rsid w:val="009853E5"/>
    <w:rsid w:val="009A1EC1"/>
    <w:rsid w:val="009C5685"/>
    <w:rsid w:val="009F4E97"/>
    <w:rsid w:val="00A77CBF"/>
    <w:rsid w:val="00AD340A"/>
    <w:rsid w:val="00B0090E"/>
    <w:rsid w:val="00B23ABF"/>
    <w:rsid w:val="00B30A56"/>
    <w:rsid w:val="00B82203"/>
    <w:rsid w:val="00BD150F"/>
    <w:rsid w:val="00C10C0A"/>
    <w:rsid w:val="00C23F0B"/>
    <w:rsid w:val="00C71151"/>
    <w:rsid w:val="00C71501"/>
    <w:rsid w:val="00C95E8A"/>
    <w:rsid w:val="00CE16CE"/>
    <w:rsid w:val="00D41F31"/>
    <w:rsid w:val="00D42A93"/>
    <w:rsid w:val="00E04CBB"/>
    <w:rsid w:val="00E75B99"/>
    <w:rsid w:val="00E9540E"/>
    <w:rsid w:val="00EA6AC8"/>
    <w:rsid w:val="00EB3889"/>
    <w:rsid w:val="00EE4011"/>
    <w:rsid w:val="00F25EA4"/>
    <w:rsid w:val="00F416E0"/>
    <w:rsid w:val="00F7671E"/>
    <w:rsid w:val="00FA74E8"/>
    <w:rsid w:val="00FD6FA7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501"/>
    <w:pPr>
      <w:ind w:left="0"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501"/>
    <w:pPr>
      <w:ind w:left="0"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Denis Frais</cp:lastModifiedBy>
  <cp:revision>2</cp:revision>
  <dcterms:created xsi:type="dcterms:W3CDTF">2014-11-10T11:13:00Z</dcterms:created>
  <dcterms:modified xsi:type="dcterms:W3CDTF">2014-11-10T11:13:00Z</dcterms:modified>
</cp:coreProperties>
</file>